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F7" w:rsidRPr="005A19F7" w:rsidRDefault="005A19F7" w:rsidP="005A19F7">
      <w:pPr>
        <w:spacing w:before="150" w:after="75" w:line="240" w:lineRule="auto"/>
        <w:outlineLvl w:val="0"/>
        <w:rPr>
          <w:rFonts w:ascii="Times New Roman" w:eastAsia="Times New Roman" w:hAnsi="Times New Roman" w:cs="Times New Roman"/>
          <w:color w:val="222222"/>
          <w:kern w:val="36"/>
          <w:sz w:val="23"/>
          <w:szCs w:val="23"/>
        </w:rPr>
      </w:pPr>
      <w:r w:rsidRPr="005A19F7">
        <w:rPr>
          <w:rFonts w:ascii="Times New Roman" w:eastAsia="Times New Roman" w:hAnsi="Times New Roman" w:cs="Times New Roman"/>
          <w:color w:val="222222"/>
          <w:kern w:val="36"/>
          <w:sz w:val="23"/>
          <w:szCs w:val="23"/>
        </w:rPr>
        <w:t>Why Invest in Eritrea?</w:t>
      </w:r>
    </w:p>
    <w:p w:rsidR="005A19F7" w:rsidRPr="005A19F7" w:rsidRDefault="005A19F7" w:rsidP="005A19F7">
      <w:pPr>
        <w:shd w:val="clear" w:color="auto" w:fill="F9F9F9"/>
        <w:spacing w:after="0" w:line="240" w:lineRule="auto"/>
        <w:rPr>
          <w:rFonts w:ascii="Times New Roman" w:eastAsia="Times New Roman" w:hAnsi="Times New Roman" w:cs="Times New Roman"/>
          <w:color w:val="838383"/>
          <w:sz w:val="11"/>
          <w:szCs w:val="11"/>
        </w:rPr>
      </w:pPr>
      <w:r w:rsidRPr="00E12990">
        <w:rPr>
          <w:rFonts w:ascii="Times New Roman" w:eastAsia="Times New Roman" w:hAnsi="Times New Roman" w:cs="Times New Roman"/>
          <w:noProof/>
          <w:color w:val="000080"/>
          <w:sz w:val="11"/>
          <w:szCs w:val="11"/>
        </w:rPr>
        <w:drawing>
          <wp:inline distT="0" distB="0" distL="0" distR="0">
            <wp:extent cx="2381250" cy="1579245"/>
            <wp:effectExtent l="19050" t="0" r="0" b="0"/>
            <wp:docPr id="3" name="Picture 3" descr="http://www.tesfanews.net/wp-content/uploads/2012/01/masswapor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sfanews.net/wp-content/uploads/2012/01/masswaport.jpg">
                      <a:hlinkClick r:id="rId5"/>
                    </pic:cNvPr>
                    <pic:cNvPicPr>
                      <a:picLocks noChangeAspect="1" noChangeArrowheads="1"/>
                    </pic:cNvPicPr>
                  </pic:nvPicPr>
                  <pic:blipFill>
                    <a:blip r:embed="rId6" cstate="print"/>
                    <a:srcRect/>
                    <a:stretch>
                      <a:fillRect/>
                    </a:stretch>
                  </pic:blipFill>
                  <pic:spPr bwMode="auto">
                    <a:xfrm>
                      <a:off x="0" y="0"/>
                      <a:ext cx="2381250" cy="1579245"/>
                    </a:xfrm>
                    <a:prstGeom prst="rect">
                      <a:avLst/>
                    </a:prstGeom>
                    <a:noFill/>
                    <a:ln w="9525">
                      <a:noFill/>
                      <a:miter lim="800000"/>
                      <a:headEnd/>
                      <a:tailEnd/>
                    </a:ln>
                  </pic:spPr>
                </pic:pic>
              </a:graphicData>
            </a:graphic>
          </wp:inline>
        </w:drawing>
      </w:r>
    </w:p>
    <w:p w:rsidR="005A19F7" w:rsidRPr="005A19F7" w:rsidRDefault="005A19F7" w:rsidP="005A19F7">
      <w:pPr>
        <w:shd w:val="clear" w:color="auto" w:fill="F9F9F9"/>
        <w:spacing w:line="240" w:lineRule="auto"/>
        <w:jc w:val="center"/>
        <w:rPr>
          <w:rFonts w:ascii="Times New Roman" w:eastAsia="Times New Roman" w:hAnsi="Times New Roman" w:cs="Times New Roman"/>
          <w:color w:val="838383"/>
          <w:sz w:val="11"/>
          <w:szCs w:val="11"/>
        </w:rPr>
      </w:pPr>
      <w:r w:rsidRPr="005A19F7">
        <w:rPr>
          <w:rFonts w:ascii="Times New Roman" w:eastAsia="Times New Roman" w:hAnsi="Times New Roman" w:cs="Times New Roman"/>
          <w:color w:val="838383"/>
          <w:sz w:val="11"/>
          <w:szCs w:val="11"/>
        </w:rPr>
        <w:t xml:space="preserve">What makes Eritrea the ideal choice </w:t>
      </w:r>
      <w:proofErr w:type="spellStart"/>
      <w:r w:rsidRPr="005A19F7">
        <w:rPr>
          <w:rFonts w:ascii="Times New Roman" w:eastAsia="Times New Roman" w:hAnsi="Times New Roman" w:cs="Times New Roman"/>
          <w:color w:val="838383"/>
          <w:sz w:val="11"/>
          <w:szCs w:val="11"/>
        </w:rPr>
        <w:t>for</w:t>
      </w:r>
      <w:r w:rsidRPr="00E12990">
        <w:rPr>
          <w:rFonts w:ascii="Times New Roman" w:eastAsia="Times New Roman" w:hAnsi="Times New Roman" w:cs="Times New Roman"/>
          <w:color w:val="838383"/>
          <w:sz w:val="11"/>
        </w:rPr>
        <w:t>investments</w:t>
      </w:r>
      <w:proofErr w:type="spellEnd"/>
      <w:r w:rsidRPr="005A19F7">
        <w:rPr>
          <w:rFonts w:ascii="Times New Roman" w:eastAsia="Times New Roman" w:hAnsi="Times New Roman" w:cs="Times New Roman"/>
          <w:color w:val="838383"/>
          <w:sz w:val="11"/>
          <w:szCs w:val="11"/>
        </w:rPr>
        <w:t>?</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By</w:t>
      </w:r>
      <w:r w:rsidRPr="00E12990">
        <w:rPr>
          <w:rFonts w:ascii="Times New Roman" w:eastAsia="Times New Roman" w:hAnsi="Times New Roman" w:cs="Times New Roman"/>
          <w:color w:val="222222"/>
          <w:sz w:val="13"/>
        </w:rPr>
        <w:t> </w:t>
      </w:r>
      <w:proofErr w:type="spellStart"/>
      <w:r w:rsidRPr="005A19F7">
        <w:rPr>
          <w:rFonts w:ascii="Times New Roman" w:eastAsia="Times New Roman" w:hAnsi="Times New Roman" w:cs="Times New Roman"/>
          <w:color w:val="222222"/>
          <w:sz w:val="13"/>
          <w:szCs w:val="13"/>
        </w:rPr>
        <w:fldChar w:fldCharType="begin"/>
      </w:r>
      <w:r w:rsidRPr="005A19F7">
        <w:rPr>
          <w:rFonts w:ascii="Times New Roman" w:eastAsia="Times New Roman" w:hAnsi="Times New Roman" w:cs="Times New Roman"/>
          <w:color w:val="222222"/>
          <w:sz w:val="13"/>
          <w:szCs w:val="13"/>
        </w:rPr>
        <w:instrText xml:space="preserve"> HYPERLINK "http://www.shabait.com/categoryblog/8210-investment-in-eritrea" \t "_blank" </w:instrText>
      </w:r>
      <w:r w:rsidRPr="005A19F7">
        <w:rPr>
          <w:rFonts w:ascii="Times New Roman" w:eastAsia="Times New Roman" w:hAnsi="Times New Roman" w:cs="Times New Roman"/>
          <w:color w:val="222222"/>
          <w:sz w:val="13"/>
          <w:szCs w:val="13"/>
        </w:rPr>
        <w:fldChar w:fldCharType="separate"/>
      </w:r>
      <w:r w:rsidRPr="00E12990">
        <w:rPr>
          <w:rFonts w:ascii="Times New Roman" w:eastAsia="Times New Roman" w:hAnsi="Times New Roman" w:cs="Times New Roman"/>
          <w:color w:val="000080"/>
          <w:sz w:val="13"/>
          <w:u w:val="single"/>
        </w:rPr>
        <w:t>Berhane</w:t>
      </w:r>
      <w:proofErr w:type="spellEnd"/>
      <w:r w:rsidRPr="00E12990">
        <w:rPr>
          <w:rFonts w:ascii="Times New Roman" w:eastAsia="Times New Roman" w:hAnsi="Times New Roman" w:cs="Times New Roman"/>
          <w:color w:val="000080"/>
          <w:sz w:val="13"/>
          <w:u w:val="single"/>
        </w:rPr>
        <w:t xml:space="preserve"> </w:t>
      </w:r>
      <w:proofErr w:type="spellStart"/>
      <w:r w:rsidRPr="00E12990">
        <w:rPr>
          <w:rFonts w:ascii="Times New Roman" w:eastAsia="Times New Roman" w:hAnsi="Times New Roman" w:cs="Times New Roman"/>
          <w:color w:val="000080"/>
          <w:sz w:val="13"/>
          <w:u w:val="single"/>
        </w:rPr>
        <w:t>Woldu</w:t>
      </w:r>
      <w:proofErr w:type="spellEnd"/>
      <w:r w:rsidRPr="005A19F7">
        <w:rPr>
          <w:rFonts w:ascii="Times New Roman" w:eastAsia="Times New Roman" w:hAnsi="Times New Roman" w:cs="Times New Roman"/>
          <w:color w:val="222222"/>
          <w:sz w:val="13"/>
          <w:szCs w:val="13"/>
        </w:rPr>
        <w:fldChar w:fldCharType="end"/>
      </w:r>
      <w:r w:rsidRPr="005A19F7">
        <w:rPr>
          <w:rFonts w:ascii="Times New Roman" w:eastAsia="Times New Roman" w:hAnsi="Times New Roman" w:cs="Times New Roman"/>
          <w:color w:val="222222"/>
          <w:sz w:val="13"/>
          <w:szCs w:val="13"/>
        </w:rPr>
        <w:t>,</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E12990">
        <w:rPr>
          <w:rFonts w:ascii="Times New Roman" w:eastAsia="Times New Roman" w:hAnsi="Times New Roman" w:cs="Times New Roman"/>
          <w:b/>
          <w:bCs/>
          <w:color w:val="222222"/>
          <w:sz w:val="13"/>
        </w:rPr>
        <w:t>Eritrea’s Strategic Location along the Red Sea</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provides ideal exposure to one of the world’s busiest shipping lines and established linkages to other areas of the region and beyond.</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The port of Massawa</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is a transit point for goods to the Middle East, European and Asian Markets. The development of the port is poised to bring about potential gains to</w:t>
      </w:r>
      <w:r w:rsidRPr="00E12990">
        <w:rPr>
          <w:rFonts w:ascii="Times New Roman" w:eastAsia="Times New Roman" w:hAnsi="Times New Roman" w:cs="Times New Roman"/>
          <w:color w:val="222222"/>
          <w:sz w:val="13"/>
        </w:rPr>
        <w:t> trade</w:t>
      </w:r>
      <w:r w:rsidRPr="005A19F7">
        <w:rPr>
          <w:rFonts w:ascii="Times New Roman" w:eastAsia="Times New Roman" w:hAnsi="Times New Roman" w:cs="Times New Roman"/>
          <w:color w:val="222222"/>
          <w:sz w:val="13"/>
          <w:szCs w:val="13"/>
        </w:rPr>
        <w:t>.</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The establishment of a</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Free Port Zone at Massawa</w:t>
      </w:r>
      <w:r w:rsidRPr="00E12990">
        <w:rPr>
          <w:rFonts w:ascii="Times New Roman" w:eastAsia="Times New Roman" w:hAnsi="Times New Roman" w:cs="Times New Roman"/>
          <w:color w:val="222222"/>
          <w:sz w:val="13"/>
        </w:rPr>
        <w:t> </w:t>
      </w:r>
      <w:proofErr w:type="gramStart"/>
      <w:r w:rsidRPr="005A19F7">
        <w:rPr>
          <w:rFonts w:ascii="Times New Roman" w:eastAsia="Times New Roman" w:hAnsi="Times New Roman" w:cs="Times New Roman"/>
          <w:color w:val="222222"/>
          <w:sz w:val="13"/>
          <w:szCs w:val="13"/>
        </w:rPr>
        <w:t>is further expected</w:t>
      </w:r>
      <w:proofErr w:type="gramEnd"/>
      <w:r w:rsidRPr="005A19F7">
        <w:rPr>
          <w:rFonts w:ascii="Times New Roman" w:eastAsia="Times New Roman" w:hAnsi="Times New Roman" w:cs="Times New Roman"/>
          <w:color w:val="222222"/>
          <w:sz w:val="13"/>
          <w:szCs w:val="13"/>
        </w:rPr>
        <w:t xml:space="preserve"> to boost trade prospects within the already established</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Middle Eastern</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and</w:t>
      </w:r>
      <w:r w:rsidRPr="00E12990">
        <w:rPr>
          <w:rFonts w:ascii="Times New Roman" w:eastAsia="Times New Roman" w:hAnsi="Times New Roman" w:cs="Times New Roman"/>
          <w:color w:val="222222"/>
          <w:sz w:val="13"/>
        </w:rPr>
        <w:t> </w:t>
      </w:r>
      <w:proofErr w:type="spellStart"/>
      <w:r w:rsidRPr="00E12990">
        <w:rPr>
          <w:rFonts w:ascii="Times New Roman" w:eastAsia="Times New Roman" w:hAnsi="Times New Roman" w:cs="Times New Roman"/>
          <w:i/>
          <w:iCs/>
          <w:color w:val="222222"/>
          <w:sz w:val="13"/>
        </w:rPr>
        <w:t>African</w:t>
      </w:r>
      <w:r w:rsidRPr="005A19F7">
        <w:rPr>
          <w:rFonts w:ascii="Times New Roman" w:eastAsia="Times New Roman" w:hAnsi="Times New Roman" w:cs="Times New Roman"/>
          <w:color w:val="222222"/>
          <w:sz w:val="13"/>
          <w:szCs w:val="13"/>
        </w:rPr>
        <w:t>Markets</w:t>
      </w:r>
      <w:proofErr w:type="spellEnd"/>
      <w:r w:rsidRPr="005A19F7">
        <w:rPr>
          <w:rFonts w:ascii="Times New Roman" w:eastAsia="Times New Roman" w:hAnsi="Times New Roman" w:cs="Times New Roman"/>
          <w:color w:val="222222"/>
          <w:sz w:val="13"/>
          <w:szCs w:val="13"/>
        </w:rPr>
        <w:t>. The</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Massawa Airport</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is equally capable of facilitating traded goods in transit to regional and global destinations.</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E12990">
        <w:rPr>
          <w:rFonts w:ascii="Times New Roman" w:eastAsia="Times New Roman" w:hAnsi="Times New Roman" w:cs="Times New Roman"/>
          <w:color w:val="222222"/>
          <w:sz w:val="13"/>
        </w:rPr>
        <w:t>Investment </w:t>
      </w:r>
      <w:r w:rsidRPr="005A19F7">
        <w:rPr>
          <w:rFonts w:ascii="Times New Roman" w:eastAsia="Times New Roman" w:hAnsi="Times New Roman" w:cs="Times New Roman"/>
          <w:color w:val="222222"/>
          <w:sz w:val="13"/>
          <w:szCs w:val="13"/>
        </w:rPr>
        <w:t>in exploration activities for reserves of</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oil,</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 xml:space="preserve">natural gas, and </w:t>
      </w:r>
      <w:proofErr w:type="spellStart"/>
      <w:r w:rsidRPr="005A19F7">
        <w:rPr>
          <w:rFonts w:ascii="Times New Roman" w:eastAsia="Times New Roman" w:hAnsi="Times New Roman" w:cs="Times New Roman"/>
          <w:color w:val="222222"/>
          <w:sz w:val="13"/>
          <w:szCs w:val="13"/>
        </w:rPr>
        <w:t>otherminerals</w:t>
      </w:r>
      <w:proofErr w:type="spellEnd"/>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provide a potential source for the expansion of export receipts. Eritrea’s natural mineral resources include</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 xml:space="preserve">gold, copper, potash, zinc, oil, natural gas, cement, gypsum, granite, marble, ceramics, </w:t>
      </w:r>
      <w:proofErr w:type="gramStart"/>
      <w:r w:rsidRPr="00E12990">
        <w:rPr>
          <w:rFonts w:ascii="Times New Roman" w:eastAsia="Times New Roman" w:hAnsi="Times New Roman" w:cs="Times New Roman"/>
          <w:i/>
          <w:iCs/>
          <w:color w:val="222222"/>
          <w:sz w:val="13"/>
        </w:rPr>
        <w:t>limestone</w:t>
      </w:r>
      <w:proofErr w:type="gramEnd"/>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and</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iron ore</w:t>
      </w:r>
      <w:r w:rsidRPr="005A19F7">
        <w:rPr>
          <w:rFonts w:ascii="Times New Roman" w:eastAsia="Times New Roman" w:hAnsi="Times New Roman" w:cs="Times New Roman"/>
          <w:color w:val="222222"/>
          <w:sz w:val="13"/>
          <w:szCs w:val="13"/>
        </w:rPr>
        <w:t>.</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 xml:space="preserve">The </w:t>
      </w:r>
      <w:proofErr w:type="spellStart"/>
      <w:r w:rsidRPr="005A19F7">
        <w:rPr>
          <w:rFonts w:ascii="Times New Roman" w:eastAsia="Times New Roman" w:hAnsi="Times New Roman" w:cs="Times New Roman"/>
          <w:color w:val="222222"/>
          <w:sz w:val="13"/>
          <w:szCs w:val="13"/>
        </w:rPr>
        <w:t>Bisha</w:t>
      </w:r>
      <w:proofErr w:type="spellEnd"/>
      <w:r w:rsidRPr="005A19F7">
        <w:rPr>
          <w:rFonts w:ascii="Times New Roman" w:eastAsia="Times New Roman" w:hAnsi="Times New Roman" w:cs="Times New Roman"/>
          <w:color w:val="222222"/>
          <w:sz w:val="13"/>
          <w:szCs w:val="13"/>
        </w:rPr>
        <w:t xml:space="preserve"> Mining Company, which is a mining conglomerate between the government and a Canadian company (NEVESUN), has started production in early 2010. The company produced more than</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390,000 oz of gold</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during the first year of operation and expected to produce more than</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450,000 oz</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in the second year. Copper production will begin in the second year and peak at 184-million pounds of copper in the fifth year of operation. The mine will begin producing zinc in its sixth year. There are many more mining contracts on the making. The potash mine in Danakil Depression with a planed output of up to</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10,000 ton a day</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life span of over</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150 years</w:t>
      </w:r>
      <w:r w:rsidRPr="005A19F7">
        <w:rPr>
          <w:rFonts w:ascii="Times New Roman" w:eastAsia="Times New Roman" w:hAnsi="Times New Roman" w:cs="Times New Roman"/>
          <w:color w:val="222222"/>
          <w:sz w:val="13"/>
          <w:szCs w:val="13"/>
        </w:rPr>
        <w:t xml:space="preserve">, the Zara and </w:t>
      </w:r>
      <w:proofErr w:type="spellStart"/>
      <w:r w:rsidRPr="005A19F7">
        <w:rPr>
          <w:rFonts w:ascii="Times New Roman" w:eastAsia="Times New Roman" w:hAnsi="Times New Roman" w:cs="Times New Roman"/>
          <w:color w:val="222222"/>
          <w:sz w:val="13"/>
          <w:szCs w:val="13"/>
        </w:rPr>
        <w:t>Dubrba</w:t>
      </w:r>
      <w:proofErr w:type="spellEnd"/>
      <w:r w:rsidRPr="005A19F7">
        <w:rPr>
          <w:rFonts w:ascii="Times New Roman" w:eastAsia="Times New Roman" w:hAnsi="Times New Roman" w:cs="Times New Roman"/>
          <w:color w:val="222222"/>
          <w:sz w:val="13"/>
          <w:szCs w:val="13"/>
        </w:rPr>
        <w:t xml:space="preserve"> gold mining Eritrea stands to share in hundreds of billions of dollars in mining profits.</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E12990">
        <w:rPr>
          <w:rFonts w:ascii="Times New Roman" w:eastAsia="Times New Roman" w:hAnsi="Times New Roman" w:cs="Times New Roman"/>
          <w:b/>
          <w:bCs/>
          <w:color w:val="222222"/>
          <w:sz w:val="13"/>
        </w:rPr>
        <w:t>PRIVATE SECTORE DEVELOPMENT</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 xml:space="preserve">The private sector </w:t>
      </w:r>
      <w:proofErr w:type="gramStart"/>
      <w:r w:rsidRPr="005A19F7">
        <w:rPr>
          <w:rFonts w:ascii="Times New Roman" w:eastAsia="Times New Roman" w:hAnsi="Times New Roman" w:cs="Times New Roman"/>
          <w:color w:val="222222"/>
          <w:sz w:val="13"/>
          <w:szCs w:val="13"/>
        </w:rPr>
        <w:t>is seen</w:t>
      </w:r>
      <w:proofErr w:type="gramEnd"/>
      <w:r w:rsidRPr="005A19F7">
        <w:rPr>
          <w:rFonts w:ascii="Times New Roman" w:eastAsia="Times New Roman" w:hAnsi="Times New Roman" w:cs="Times New Roman"/>
          <w:color w:val="222222"/>
          <w:sz w:val="13"/>
          <w:szCs w:val="13"/>
        </w:rPr>
        <w:t xml:space="preserve"> as the major development partner, an engine of growth that will help jump start the economy and eventually lead to long-term growth in the Governments development agenda- as explicitly indicated in the</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Macro Policy document (1994).</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The Government has achieved so much at adopting favorable monetary and fiscal policy, reduced regulatory framework and bottlenecks by offering incentives and avoiding trade and other related barriers to attract private sector investment and to expand exports.</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In line with the macro-policy objectives, a</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revised investment code</w:t>
      </w:r>
      <w:r w:rsidRPr="00E12990">
        <w:rPr>
          <w:rFonts w:ascii="Times New Roman" w:eastAsia="Times New Roman" w:hAnsi="Times New Roman" w:cs="Times New Roman"/>
          <w:color w:val="222222"/>
          <w:sz w:val="13"/>
        </w:rPr>
        <w:t> </w:t>
      </w:r>
      <w:proofErr w:type="gramStart"/>
      <w:r w:rsidRPr="005A19F7">
        <w:rPr>
          <w:rFonts w:ascii="Times New Roman" w:eastAsia="Times New Roman" w:hAnsi="Times New Roman" w:cs="Times New Roman"/>
          <w:color w:val="222222"/>
          <w:sz w:val="13"/>
          <w:szCs w:val="13"/>
        </w:rPr>
        <w:t>was issued</w:t>
      </w:r>
      <w:proofErr w:type="gramEnd"/>
      <w:r w:rsidRPr="005A19F7">
        <w:rPr>
          <w:rFonts w:ascii="Times New Roman" w:eastAsia="Times New Roman" w:hAnsi="Times New Roman" w:cs="Times New Roman"/>
          <w:color w:val="222222"/>
          <w:sz w:val="13"/>
          <w:szCs w:val="13"/>
        </w:rPr>
        <w:t xml:space="preserve"> in 1994. The main objective of the investment code is to promote investment in Eritrea as well as develop and use the country’s natural resources. Within this broader objective, the investment code intends to achieve objectives including, the promotion of exports, encouragement of competitive import substitution industries, enhancing transfer of new technology, securing equitable regional growth, development of small-and medium-scale enterprises, and expansion of</w:t>
      </w:r>
      <w:r w:rsidRPr="00E12990">
        <w:rPr>
          <w:rFonts w:ascii="Times New Roman" w:eastAsia="Times New Roman" w:hAnsi="Times New Roman" w:cs="Times New Roman"/>
          <w:color w:val="222222"/>
          <w:sz w:val="13"/>
        </w:rPr>
        <w:t> employment opportunities </w:t>
      </w:r>
      <w:r w:rsidRPr="005A19F7">
        <w:rPr>
          <w:rFonts w:ascii="Times New Roman" w:eastAsia="Times New Roman" w:hAnsi="Times New Roman" w:cs="Times New Roman"/>
          <w:color w:val="222222"/>
          <w:sz w:val="13"/>
          <w:szCs w:val="13"/>
        </w:rPr>
        <w:t>(GOE, 1994: 5).</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The Eritrean investment code also provides various incentives for domestic and foreign investment. The investment code further outlines that</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there will be no taxes on declared</w:t>
      </w:r>
      <w:r w:rsidRPr="00E12990">
        <w:rPr>
          <w:rFonts w:ascii="Times New Roman" w:eastAsia="Times New Roman" w:hAnsi="Times New Roman" w:cs="Times New Roman"/>
          <w:color w:val="222222"/>
          <w:sz w:val="13"/>
        </w:rPr>
        <w:t> dividends</w:t>
      </w:r>
      <w:r w:rsidRPr="005A19F7">
        <w:rPr>
          <w:rFonts w:ascii="Times New Roman" w:eastAsia="Times New Roman" w:hAnsi="Times New Roman" w:cs="Times New Roman"/>
          <w:color w:val="222222"/>
          <w:sz w:val="13"/>
          <w:szCs w:val="13"/>
        </w:rPr>
        <w:t>; any corporate profit that is set aside for reinvestment will be taxed at the rate of 20%. Furthermore, there shall be</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no exchange controls for remitting dividends and capital gains, and foreign investors are free to repatriate their profits.</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 xml:space="preserve">The investment code provides various benefits to investors. For instance, profit and dividends of investors, payments for a foreign loan, fees, royalties, or proceeds received from liquidation of investment and/or expansion, and payment received from the sale of transfer of shares </w:t>
      </w:r>
      <w:proofErr w:type="gramStart"/>
      <w:r w:rsidRPr="005A19F7">
        <w:rPr>
          <w:rFonts w:ascii="Times New Roman" w:eastAsia="Times New Roman" w:hAnsi="Times New Roman" w:cs="Times New Roman"/>
          <w:color w:val="222222"/>
          <w:sz w:val="13"/>
          <w:szCs w:val="13"/>
        </w:rPr>
        <w:t>will be remitted</w:t>
      </w:r>
      <w:proofErr w:type="gramEnd"/>
      <w:r w:rsidRPr="005A19F7">
        <w:rPr>
          <w:rFonts w:ascii="Times New Roman" w:eastAsia="Times New Roman" w:hAnsi="Times New Roman" w:cs="Times New Roman"/>
          <w:color w:val="222222"/>
          <w:sz w:val="13"/>
          <w:szCs w:val="13"/>
        </w:rPr>
        <w:t xml:space="preserve"> in accordance with the rate of exchange prevailing at that time. There is no minimum threshold value of investment. Moreover, with the exception of domestic retail and whole sale trade, import, and commission agency that requires bilateral agreements of reciprocity with the country of investor, all areas of investment are open to all investors both foreign and domestic (GOE, 1994:6). Foreign capital may establish any enterprise on its own or in partnership with local capital.</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Moreover, the investment code guarantee, that</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capital and other associated foreign-owned assets will not be nationalized without due laws. To this effect, Eritrea has also signed the convention establishing</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i/>
          <w:iCs/>
          <w:color w:val="222222"/>
          <w:sz w:val="13"/>
        </w:rPr>
        <w:t>Multilateral Investment Guarantee Agency</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(MIGA) and the convention on the</w:t>
      </w:r>
      <w:r w:rsidRPr="00E12990">
        <w:rPr>
          <w:rFonts w:ascii="Times New Roman" w:eastAsia="Times New Roman" w:hAnsi="Times New Roman" w:cs="Times New Roman"/>
          <w:i/>
          <w:iCs/>
          <w:color w:val="222222"/>
          <w:sz w:val="13"/>
        </w:rPr>
        <w:t xml:space="preserve"> Settlement of Investment Disputes between States and Nationals of other </w:t>
      </w:r>
      <w:proofErr w:type="gramStart"/>
      <w:r w:rsidRPr="00E12990">
        <w:rPr>
          <w:rFonts w:ascii="Times New Roman" w:eastAsia="Times New Roman" w:hAnsi="Times New Roman" w:cs="Times New Roman"/>
          <w:i/>
          <w:iCs/>
          <w:color w:val="222222"/>
          <w:sz w:val="13"/>
        </w:rPr>
        <w:t>States</w:t>
      </w:r>
      <w:r w:rsidRPr="005A19F7">
        <w:rPr>
          <w:rFonts w:ascii="Times New Roman" w:eastAsia="Times New Roman" w:hAnsi="Times New Roman" w:cs="Times New Roman"/>
          <w:color w:val="222222"/>
          <w:sz w:val="13"/>
          <w:szCs w:val="13"/>
        </w:rPr>
        <w:t>(</w:t>
      </w:r>
      <w:proofErr w:type="gramEnd"/>
      <w:r w:rsidRPr="005A19F7">
        <w:rPr>
          <w:rFonts w:ascii="Times New Roman" w:eastAsia="Times New Roman" w:hAnsi="Times New Roman" w:cs="Times New Roman"/>
          <w:color w:val="222222"/>
          <w:sz w:val="13"/>
          <w:szCs w:val="13"/>
        </w:rPr>
        <w:t xml:space="preserve">GOE, 1998: 20). It established, The Investment Center, which is the legal body responsible for the promotion of investment. Issuance of certification to investors with a maximum delay of 10 days (GOE, 1994:15), Land Proclamation that provides usufruct rights for the long-term up to 99 years </w:t>
      </w:r>
      <w:proofErr w:type="gramStart"/>
      <w:r w:rsidRPr="005A19F7">
        <w:rPr>
          <w:rFonts w:ascii="Times New Roman" w:eastAsia="Times New Roman" w:hAnsi="Times New Roman" w:cs="Times New Roman"/>
          <w:color w:val="222222"/>
          <w:sz w:val="13"/>
          <w:szCs w:val="13"/>
        </w:rPr>
        <w:t>has been issued</w:t>
      </w:r>
      <w:proofErr w:type="gramEnd"/>
      <w:r w:rsidRPr="005A19F7">
        <w:rPr>
          <w:rFonts w:ascii="Times New Roman" w:eastAsia="Times New Roman" w:hAnsi="Times New Roman" w:cs="Times New Roman"/>
          <w:color w:val="222222"/>
          <w:sz w:val="13"/>
          <w:szCs w:val="13"/>
        </w:rPr>
        <w:t xml:space="preserve"> since 1994 and is expected to facilitate the allocation of land for investors (GOE, 1994; IMF, 1996:9).</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 xml:space="preserve">Significant progress </w:t>
      </w:r>
      <w:proofErr w:type="gramStart"/>
      <w:r w:rsidRPr="005A19F7">
        <w:rPr>
          <w:rFonts w:ascii="Times New Roman" w:eastAsia="Times New Roman" w:hAnsi="Times New Roman" w:cs="Times New Roman"/>
          <w:color w:val="222222"/>
          <w:sz w:val="13"/>
          <w:szCs w:val="13"/>
        </w:rPr>
        <w:t>has been made</w:t>
      </w:r>
      <w:proofErr w:type="gramEnd"/>
      <w:r w:rsidRPr="005A19F7">
        <w:rPr>
          <w:rFonts w:ascii="Times New Roman" w:eastAsia="Times New Roman" w:hAnsi="Times New Roman" w:cs="Times New Roman"/>
          <w:color w:val="222222"/>
          <w:sz w:val="13"/>
          <w:szCs w:val="13"/>
        </w:rPr>
        <w:t xml:space="preserve"> since independence regarding the liberalization of trade policy.</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The 1994 Legal Notice 18/1994</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reduced the number of</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import tariffs to twelve. Capital goods, raw materials, and semi-processed goods have only a</w:t>
      </w:r>
      <w:r w:rsidRPr="00E12990">
        <w:rPr>
          <w:rFonts w:ascii="Times New Roman" w:eastAsia="Times New Roman" w:hAnsi="Times New Roman" w:cs="Times New Roman"/>
          <w:b/>
          <w:bCs/>
          <w:color w:val="222222"/>
          <w:sz w:val="13"/>
        </w:rPr>
        <w:t>2 % tariff</w:t>
      </w:r>
      <w:r w:rsidRPr="005A19F7">
        <w:rPr>
          <w:rFonts w:ascii="Times New Roman" w:eastAsia="Times New Roman" w:hAnsi="Times New Roman" w:cs="Times New Roman"/>
          <w:color w:val="222222"/>
          <w:sz w:val="13"/>
          <w:szCs w:val="13"/>
        </w:rPr>
        <w:t>. Basic goods duties range from 3 to 20%. In addition, customs procedures were simplified. In the mid-1990s, the government began major investments in infrastructure, roads, electricity, dams, and port operations to support the further development of exports. To expand the market for import and export potentials the country entered into active membership in regional organizations such as IGAD and COMESA.</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E12990">
        <w:rPr>
          <w:rFonts w:ascii="Times New Roman" w:eastAsia="Times New Roman" w:hAnsi="Times New Roman" w:cs="Times New Roman"/>
          <w:b/>
          <w:bCs/>
          <w:color w:val="222222"/>
          <w:sz w:val="13"/>
        </w:rPr>
        <w:t>INVESTMENT ENVIRONMENT</w:t>
      </w:r>
    </w:p>
    <w:p w:rsidR="005A19F7" w:rsidRPr="00E12990" w:rsidRDefault="005A19F7" w:rsidP="00E12990">
      <w:pPr>
        <w:pStyle w:val="NoSpacing"/>
        <w:rPr>
          <w:rFonts w:ascii="Times New Roman" w:hAnsi="Times New Roman" w:cs="Times New Roman"/>
          <w:sz w:val="18"/>
          <w:szCs w:val="18"/>
        </w:rPr>
      </w:pPr>
      <w:r w:rsidRPr="00E12990">
        <w:rPr>
          <w:rFonts w:ascii="Times New Roman" w:hAnsi="Times New Roman" w:cs="Times New Roman"/>
          <w:b/>
          <w:bCs/>
          <w:sz w:val="18"/>
          <w:szCs w:val="18"/>
        </w:rPr>
        <w:lastRenderedPageBreak/>
        <w:t>Peace </w:t>
      </w:r>
      <w:r w:rsidRPr="00E12990">
        <w:rPr>
          <w:rFonts w:ascii="Times New Roman" w:hAnsi="Times New Roman" w:cs="Times New Roman"/>
          <w:sz w:val="18"/>
          <w:szCs w:val="18"/>
        </w:rPr>
        <w:t>and</w:t>
      </w:r>
      <w:r w:rsidRPr="00E12990">
        <w:rPr>
          <w:rFonts w:ascii="Times New Roman" w:hAnsi="Times New Roman" w:cs="Times New Roman"/>
          <w:b/>
          <w:bCs/>
          <w:sz w:val="18"/>
          <w:szCs w:val="18"/>
        </w:rPr>
        <w:t> security</w:t>
      </w:r>
      <w:r w:rsidRPr="00E12990">
        <w:rPr>
          <w:rFonts w:ascii="Times New Roman" w:hAnsi="Times New Roman" w:cs="Times New Roman"/>
          <w:sz w:val="18"/>
          <w:szCs w:val="18"/>
        </w:rPr>
        <w:t> are the main pillars of a true and conducive investment environment in Eritrea. The economic policy underlines the necessity to have a market lead economic system. The private sector should have the upper hand in all economic sectors with the government to intervene in major public shares. The following are some of the steps taken for a better investment environment:</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The</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Eritrean Investment Center</w:t>
      </w:r>
      <w:r w:rsidRPr="00E12990">
        <w:rPr>
          <w:rFonts w:ascii="Times New Roman" w:eastAsia="Times New Roman" w:hAnsi="Times New Roman" w:cs="Times New Roman"/>
          <w:color w:val="222222"/>
          <w:sz w:val="13"/>
        </w:rPr>
        <w:t> </w:t>
      </w:r>
      <w:proofErr w:type="gramStart"/>
      <w:r w:rsidRPr="005A19F7">
        <w:rPr>
          <w:rFonts w:ascii="Times New Roman" w:eastAsia="Times New Roman" w:hAnsi="Times New Roman" w:cs="Times New Roman"/>
          <w:color w:val="222222"/>
          <w:sz w:val="13"/>
          <w:szCs w:val="13"/>
        </w:rPr>
        <w:t>was created</w:t>
      </w:r>
      <w:proofErr w:type="gramEnd"/>
      <w:r w:rsidRPr="005A19F7">
        <w:rPr>
          <w:rFonts w:ascii="Times New Roman" w:eastAsia="Times New Roman" w:hAnsi="Times New Roman" w:cs="Times New Roman"/>
          <w:color w:val="222222"/>
          <w:sz w:val="13"/>
          <w:szCs w:val="13"/>
        </w:rPr>
        <w:t xml:space="preserve"> in 1998 to promote the country as an attractive investment destination. The investment center approves investment projects, and aims to promote and facilitate investment activities in Eritrea.</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The</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Business</w:t>
      </w:r>
      <w:r w:rsidRPr="00E12990">
        <w:rPr>
          <w:rFonts w:ascii="Times New Roman" w:eastAsia="Times New Roman" w:hAnsi="Times New Roman" w:cs="Times New Roman"/>
          <w:color w:val="222222"/>
          <w:sz w:val="13"/>
        </w:rPr>
        <w:t> Licensing Office </w:t>
      </w:r>
      <w:r w:rsidRPr="005A19F7">
        <w:rPr>
          <w:rFonts w:ascii="Times New Roman" w:eastAsia="Times New Roman" w:hAnsi="Times New Roman" w:cs="Times New Roman"/>
          <w:color w:val="222222"/>
          <w:sz w:val="13"/>
          <w:szCs w:val="13"/>
        </w:rPr>
        <w:t>(BLO)</w:t>
      </w:r>
      <w:r w:rsidRPr="00E12990">
        <w:rPr>
          <w:rFonts w:ascii="Times New Roman" w:eastAsia="Times New Roman" w:hAnsi="Times New Roman" w:cs="Times New Roman"/>
          <w:color w:val="222222"/>
          <w:sz w:val="13"/>
        </w:rPr>
        <w:t> </w:t>
      </w:r>
      <w:proofErr w:type="gramStart"/>
      <w:r w:rsidRPr="005A19F7">
        <w:rPr>
          <w:rFonts w:ascii="Times New Roman" w:eastAsia="Times New Roman" w:hAnsi="Times New Roman" w:cs="Times New Roman"/>
          <w:color w:val="222222"/>
          <w:sz w:val="13"/>
          <w:szCs w:val="13"/>
        </w:rPr>
        <w:t>was established</w:t>
      </w:r>
      <w:proofErr w:type="gramEnd"/>
      <w:r w:rsidRPr="005A19F7">
        <w:rPr>
          <w:rFonts w:ascii="Times New Roman" w:eastAsia="Times New Roman" w:hAnsi="Times New Roman" w:cs="Times New Roman"/>
          <w:color w:val="222222"/>
          <w:sz w:val="13"/>
          <w:szCs w:val="13"/>
        </w:rPr>
        <w:t xml:space="preserve"> to create a centralized, “</w:t>
      </w:r>
      <w:r w:rsidRPr="00E12990">
        <w:rPr>
          <w:rFonts w:ascii="Times New Roman" w:eastAsia="Times New Roman" w:hAnsi="Times New Roman" w:cs="Times New Roman"/>
          <w:b/>
          <w:bCs/>
          <w:color w:val="222222"/>
          <w:sz w:val="13"/>
        </w:rPr>
        <w:t>One-Stop</w:t>
      </w:r>
      <w:r w:rsidRPr="005A19F7">
        <w:rPr>
          <w:rFonts w:ascii="Times New Roman" w:eastAsia="Times New Roman" w:hAnsi="Times New Roman" w:cs="Times New Roman"/>
          <w:color w:val="222222"/>
          <w:sz w:val="13"/>
          <w:szCs w:val="13"/>
        </w:rPr>
        <w:t>”,</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licensing center to facilitate</w:t>
      </w:r>
      <w:r w:rsidR="00E12990">
        <w:rPr>
          <w:rFonts w:ascii="Times New Roman" w:eastAsia="Times New Roman" w:hAnsi="Times New Roman" w:cs="Times New Roman"/>
          <w:color w:val="222222"/>
          <w:sz w:val="13"/>
          <w:szCs w:val="13"/>
        </w:rPr>
        <w:t xml:space="preserve"> </w:t>
      </w:r>
      <w:r w:rsidRPr="005A19F7">
        <w:rPr>
          <w:rFonts w:ascii="Times New Roman" w:eastAsia="Times New Roman" w:hAnsi="Times New Roman" w:cs="Times New Roman"/>
          <w:color w:val="222222"/>
          <w:sz w:val="13"/>
          <w:szCs w:val="13"/>
        </w:rPr>
        <w:t>the speedy formation of business ventures as well as the issuance and renewal of</w:t>
      </w:r>
      <w:r w:rsidRPr="00E12990">
        <w:rPr>
          <w:rFonts w:ascii="Times New Roman" w:eastAsia="Times New Roman" w:hAnsi="Times New Roman" w:cs="Times New Roman"/>
          <w:color w:val="222222"/>
          <w:sz w:val="13"/>
        </w:rPr>
        <w:t> licenses</w:t>
      </w:r>
      <w:r w:rsidRPr="005A19F7">
        <w:rPr>
          <w:rFonts w:ascii="Times New Roman" w:eastAsia="Times New Roman" w:hAnsi="Times New Roman" w:cs="Times New Roman"/>
          <w:color w:val="222222"/>
          <w:sz w:val="13"/>
          <w:szCs w:val="13"/>
        </w:rPr>
        <w:t>.</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Key investment opportunities in the fisheries sub-sector provide a potential of</w:t>
      </w:r>
      <w:r w:rsidRPr="00E12990">
        <w:rPr>
          <w:rFonts w:ascii="Times New Roman" w:eastAsia="Times New Roman" w:hAnsi="Times New Roman" w:cs="Times New Roman"/>
          <w:color w:val="222222"/>
          <w:sz w:val="13"/>
        </w:rPr>
        <w:t> </w:t>
      </w:r>
      <w:r w:rsidRPr="00E12990">
        <w:rPr>
          <w:rFonts w:ascii="Times New Roman" w:eastAsia="Times New Roman" w:hAnsi="Times New Roman" w:cs="Times New Roman"/>
          <w:b/>
          <w:bCs/>
          <w:color w:val="222222"/>
          <w:sz w:val="13"/>
        </w:rPr>
        <w:t>90,000 sq.km of fishing ground</w:t>
      </w:r>
      <w:r w:rsidRPr="005A19F7">
        <w:rPr>
          <w:rFonts w:ascii="Times New Roman" w:eastAsia="Times New Roman" w:hAnsi="Times New Roman" w:cs="Times New Roman"/>
          <w:color w:val="222222"/>
          <w:sz w:val="13"/>
          <w:szCs w:val="13"/>
        </w:rPr>
        <w:t>, with an estimated annual production potential of</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65,000-70,000 tons of fish</w:t>
      </w:r>
      <w:r w:rsidRPr="00E12990">
        <w:rPr>
          <w:rFonts w:ascii="Times New Roman" w:eastAsia="Times New Roman" w:hAnsi="Times New Roman" w:cs="Times New Roman"/>
          <w:color w:val="222222"/>
          <w:sz w:val="13"/>
        </w:rPr>
        <w:t> </w:t>
      </w:r>
      <w:r w:rsidRPr="005A19F7">
        <w:rPr>
          <w:rFonts w:ascii="Times New Roman" w:eastAsia="Times New Roman" w:hAnsi="Times New Roman" w:cs="Times New Roman"/>
          <w:color w:val="222222"/>
          <w:sz w:val="13"/>
          <w:szCs w:val="13"/>
        </w:rPr>
        <w:t>and other marine produces.</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The manufacturing sector produces a variety of products with particular emphasis on processed food and dairy products, alcoholic beverages, glass, leather goods, marble, textiles and salt.</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proofErr w:type="gramStart"/>
      <w:r w:rsidRPr="005A19F7">
        <w:rPr>
          <w:rFonts w:ascii="Times New Roman" w:eastAsia="Times New Roman" w:hAnsi="Times New Roman" w:cs="Times New Roman"/>
          <w:color w:val="222222"/>
          <w:sz w:val="13"/>
          <w:szCs w:val="13"/>
        </w:rPr>
        <w:t>Recent developments in the mining and quarrying sectors.</w:t>
      </w:r>
      <w:proofErr w:type="gramEnd"/>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Investment opportunities in the service sector include tourism, transport, energy and water resources, communication and financial services.</w:t>
      </w:r>
    </w:p>
    <w:p w:rsidR="005A19F7" w:rsidRPr="005A19F7" w:rsidRDefault="005A19F7" w:rsidP="005A19F7">
      <w:pPr>
        <w:numPr>
          <w:ilvl w:val="0"/>
          <w:numId w:val="1"/>
        </w:numPr>
        <w:spacing w:before="180" w:after="180" w:line="240" w:lineRule="auto"/>
        <w:rPr>
          <w:rFonts w:ascii="Times New Roman" w:eastAsia="Times New Roman" w:hAnsi="Times New Roman" w:cs="Times New Roman"/>
          <w:color w:val="222222"/>
          <w:sz w:val="13"/>
          <w:szCs w:val="13"/>
        </w:rPr>
      </w:pPr>
      <w:r w:rsidRPr="005A19F7">
        <w:rPr>
          <w:rFonts w:ascii="Times New Roman" w:eastAsia="Times New Roman" w:hAnsi="Times New Roman" w:cs="Times New Roman"/>
          <w:color w:val="222222"/>
          <w:sz w:val="13"/>
          <w:szCs w:val="13"/>
        </w:rPr>
        <w:t>Offshore oil and natural gas exploration are specific areas of potential investment in the energy sub-sector.</w:t>
      </w:r>
    </w:p>
    <w:p w:rsidR="005A19F7" w:rsidRPr="005A19F7" w:rsidRDefault="005A19F7" w:rsidP="005A19F7">
      <w:pPr>
        <w:spacing w:before="100" w:beforeAutospacing="1" w:after="100" w:afterAutospacing="1" w:line="240" w:lineRule="auto"/>
        <w:rPr>
          <w:rFonts w:ascii="Times New Roman" w:eastAsia="Times New Roman" w:hAnsi="Times New Roman" w:cs="Times New Roman"/>
          <w:color w:val="222222"/>
          <w:sz w:val="13"/>
          <w:szCs w:val="13"/>
        </w:rPr>
      </w:pPr>
      <w:r w:rsidRPr="00E12990">
        <w:rPr>
          <w:rFonts w:ascii="Times New Roman" w:eastAsia="Times New Roman" w:hAnsi="Times New Roman" w:cs="Times New Roman"/>
          <w:b/>
          <w:bCs/>
          <w:color w:val="222222"/>
          <w:sz w:val="13"/>
        </w:rPr>
        <w:t>INVESTMENT INCENTIVES IN ERITREA</w:t>
      </w:r>
    </w:p>
    <w:p w:rsidR="000F3750" w:rsidRPr="000F3750" w:rsidRDefault="000F3750" w:rsidP="000F3750">
      <w:pPr>
        <w:shd w:val="clear" w:color="auto" w:fill="FFFFFF"/>
        <w:spacing w:after="0" w:line="187" w:lineRule="atLeast"/>
        <w:jc w:val="both"/>
        <w:textAlignment w:val="baseline"/>
        <w:rPr>
          <w:rFonts w:ascii="Arial" w:eastAsia="Times New Roman" w:hAnsi="Arial" w:cs="Arial"/>
          <w:color w:val="4D433A"/>
          <w:sz w:val="13"/>
          <w:szCs w:val="13"/>
        </w:rPr>
      </w:pPr>
      <w:r w:rsidRPr="000F3750">
        <w:rPr>
          <w:rFonts w:ascii="Arial" w:eastAsia="Times New Roman" w:hAnsi="Arial" w:cs="Arial"/>
          <w:color w:val="4D433A"/>
          <w:sz w:val="13"/>
          <w:szCs w:val="13"/>
        </w:rPr>
        <w:t>The</w:t>
      </w:r>
      <w:r w:rsidRPr="000F3750">
        <w:rPr>
          <w:rFonts w:ascii="Arial" w:eastAsia="Times New Roman" w:hAnsi="Arial" w:cs="Arial"/>
          <w:color w:val="4D433A"/>
          <w:sz w:val="13"/>
        </w:rPr>
        <w:t> </w:t>
      </w:r>
      <w:r w:rsidRPr="000F3750">
        <w:rPr>
          <w:rFonts w:ascii="Arial" w:eastAsia="Times New Roman" w:hAnsi="Arial" w:cs="Arial"/>
          <w:color w:val="4D433A"/>
          <w:sz w:val="13"/>
          <w:szCs w:val="13"/>
        </w:rPr>
        <w:t>investment</w:t>
      </w:r>
      <w:r w:rsidRPr="000F3750">
        <w:rPr>
          <w:rFonts w:ascii="Arial" w:eastAsia="Times New Roman" w:hAnsi="Arial" w:cs="Arial"/>
          <w:color w:val="4D433A"/>
          <w:sz w:val="13"/>
        </w:rPr>
        <w:t> </w:t>
      </w:r>
      <w:r w:rsidRPr="000F3750">
        <w:rPr>
          <w:rFonts w:ascii="Arial" w:eastAsia="Times New Roman" w:hAnsi="Arial" w:cs="Arial"/>
          <w:color w:val="4D433A"/>
          <w:sz w:val="13"/>
          <w:szCs w:val="13"/>
        </w:rPr>
        <w:t>policy of Eritrea provides</w:t>
      </w:r>
      <w:r w:rsidRPr="000F3750">
        <w:rPr>
          <w:rFonts w:ascii="Arial" w:eastAsia="Times New Roman" w:hAnsi="Arial" w:cs="Arial"/>
          <w:color w:val="4D433A"/>
          <w:sz w:val="13"/>
        </w:rPr>
        <w:t> </w:t>
      </w:r>
      <w:r w:rsidRPr="000F3750">
        <w:rPr>
          <w:rFonts w:ascii="inherit" w:eastAsia="Times New Roman" w:hAnsi="inherit" w:cs="Arial"/>
          <w:color w:val="000080"/>
          <w:sz w:val="13"/>
          <w:szCs w:val="13"/>
          <w:bdr w:val="none" w:sz="0" w:space="0" w:color="auto" w:frame="1"/>
        </w:rPr>
        <w:t>the following incentives to foreign and domestic companies</w:t>
      </w:r>
      <w:r w:rsidRPr="000F3750">
        <w:rPr>
          <w:rFonts w:ascii="Arial" w:eastAsia="Times New Roman" w:hAnsi="Arial" w:cs="Arial"/>
          <w:color w:val="4D433A"/>
          <w:sz w:val="13"/>
          <w:szCs w:val="13"/>
        </w:rPr>
        <w:t>.</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Both local and foreign private sector investors are allowed to participate in</w:t>
      </w:r>
      <w:r w:rsidRPr="000F3750">
        <w:rPr>
          <w:rFonts w:ascii="inherit" w:eastAsia="Times New Roman" w:hAnsi="inherit" w:cs="Arial"/>
          <w:color w:val="4D433A"/>
          <w:sz w:val="13"/>
        </w:rPr>
        <w:t> </w:t>
      </w:r>
      <w:r w:rsidRPr="000F3750">
        <w:rPr>
          <w:rFonts w:ascii="inherit" w:eastAsia="Times New Roman" w:hAnsi="inherit" w:cs="Arial"/>
          <w:color w:val="000080"/>
          <w:sz w:val="13"/>
          <w:szCs w:val="13"/>
          <w:bdr w:val="none" w:sz="0" w:space="0" w:color="auto" w:frame="1"/>
        </w:rPr>
        <w:t>all sectors of the economy with no restriction and discrimination</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Priority foreign exchange allocation given to exporters</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Up to 100% retention of foreign currency earning</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No taxes on</w:t>
      </w:r>
      <w:r w:rsidRPr="000F3750">
        <w:rPr>
          <w:rFonts w:ascii="inherit" w:eastAsia="Times New Roman" w:hAnsi="inherit" w:cs="Arial"/>
          <w:color w:val="4D433A"/>
          <w:sz w:val="13"/>
        </w:rPr>
        <w:t> </w:t>
      </w:r>
      <w:r w:rsidRPr="000F3750">
        <w:rPr>
          <w:rFonts w:ascii="inherit" w:eastAsia="Times New Roman" w:hAnsi="inherit" w:cs="Arial"/>
          <w:color w:val="4D433A"/>
          <w:sz w:val="13"/>
          <w:szCs w:val="13"/>
        </w:rPr>
        <w:t>dividends</w:t>
      </w:r>
      <w:r w:rsidRPr="000F3750">
        <w:rPr>
          <w:rFonts w:ascii="inherit" w:eastAsia="Times New Roman" w:hAnsi="inherit" w:cs="Arial"/>
          <w:color w:val="4D433A"/>
          <w:sz w:val="13"/>
        </w:rPr>
        <w:t> </w:t>
      </w:r>
      <w:r w:rsidRPr="000F3750">
        <w:rPr>
          <w:rFonts w:ascii="inherit" w:eastAsia="Times New Roman" w:hAnsi="inherit" w:cs="Arial"/>
          <w:color w:val="4D433A"/>
          <w:sz w:val="13"/>
          <w:szCs w:val="13"/>
        </w:rPr>
        <w:t>declared</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Capital goods, intermediates, industrial spare parts and raw materials are subject to nominal customs duty of 2%</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Raw materials and intermediate inputs are subject to 3%</w:t>
      </w:r>
      <w:r w:rsidRPr="000F3750">
        <w:rPr>
          <w:rFonts w:ascii="inherit" w:eastAsia="Times New Roman" w:hAnsi="inherit" w:cs="Arial"/>
          <w:color w:val="4D433A"/>
          <w:sz w:val="13"/>
        </w:rPr>
        <w:t> sales tax</w:t>
      </w:r>
      <w:r w:rsidRPr="000F3750">
        <w:rPr>
          <w:rFonts w:ascii="inherit" w:eastAsia="Times New Roman" w:hAnsi="inherit" w:cs="Arial"/>
          <w:color w:val="4D433A"/>
          <w:sz w:val="13"/>
          <w:szCs w:val="13"/>
        </w:rPr>
        <w:t>; however, all</w:t>
      </w:r>
      <w:r w:rsidRPr="000F3750">
        <w:rPr>
          <w:rFonts w:ascii="inherit" w:eastAsia="Times New Roman" w:hAnsi="inherit" w:cs="Arial"/>
          <w:color w:val="4D433A"/>
          <w:sz w:val="13"/>
        </w:rPr>
        <w:t> </w:t>
      </w:r>
      <w:r w:rsidRPr="000F3750">
        <w:rPr>
          <w:rFonts w:ascii="inherit" w:eastAsia="Times New Roman" w:hAnsi="inherit" w:cs="Arial"/>
          <w:color w:val="4D433A"/>
          <w:sz w:val="13"/>
          <w:szCs w:val="13"/>
        </w:rPr>
        <w:t xml:space="preserve">sales </w:t>
      </w:r>
      <w:proofErr w:type="spellStart"/>
      <w:r w:rsidRPr="000F3750">
        <w:rPr>
          <w:rFonts w:ascii="inherit" w:eastAsia="Times New Roman" w:hAnsi="inherit" w:cs="Arial"/>
          <w:color w:val="4D433A"/>
          <w:sz w:val="13"/>
          <w:szCs w:val="13"/>
        </w:rPr>
        <w:t>taxwill</w:t>
      </w:r>
      <w:proofErr w:type="spellEnd"/>
      <w:r w:rsidRPr="000F3750">
        <w:rPr>
          <w:rFonts w:ascii="inherit" w:eastAsia="Times New Roman" w:hAnsi="inherit" w:cs="Arial"/>
          <w:color w:val="4D433A"/>
          <w:sz w:val="13"/>
          <w:szCs w:val="13"/>
        </w:rPr>
        <w:t xml:space="preserve"> be rebated on all materials and inputs that have been used for export production</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Exports are exempted from export duties and</w:t>
      </w:r>
      <w:r w:rsidRPr="000F3750">
        <w:rPr>
          <w:rFonts w:ascii="inherit" w:eastAsia="Times New Roman" w:hAnsi="inherit" w:cs="Arial"/>
          <w:color w:val="4D433A"/>
          <w:sz w:val="13"/>
        </w:rPr>
        <w:t> sales taxes</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Any loss incurred during the first two years of operation by an investor may be carried forward for three consecutive years</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Marginal tax rate on personal income from 2%-38%: on non-corporate profit from 2%-38%; on corporate profit from 25%-35%; on commercial agriculture from 2%-320%; and on rent income from 1%-48%</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Profit derived from mining activities will be taxed as per the mining legislation; and</w:t>
      </w:r>
    </w:p>
    <w:p w:rsidR="000F3750" w:rsidRPr="000F3750" w:rsidRDefault="000F3750" w:rsidP="000F3750">
      <w:pPr>
        <w:numPr>
          <w:ilvl w:val="0"/>
          <w:numId w:val="2"/>
        </w:numPr>
        <w:shd w:val="clear" w:color="auto" w:fill="FFFFFF"/>
        <w:spacing w:after="0" w:line="187" w:lineRule="atLeast"/>
        <w:ind w:left="360" w:right="360"/>
        <w:jc w:val="both"/>
        <w:textAlignment w:val="baseline"/>
        <w:rPr>
          <w:rFonts w:ascii="inherit" w:eastAsia="Times New Roman" w:hAnsi="inherit" w:cs="Arial"/>
          <w:color w:val="4D433A"/>
          <w:sz w:val="13"/>
          <w:szCs w:val="13"/>
        </w:rPr>
      </w:pPr>
      <w:r w:rsidRPr="000F3750">
        <w:rPr>
          <w:rFonts w:ascii="inherit" w:eastAsia="Times New Roman" w:hAnsi="inherit" w:cs="Arial"/>
          <w:color w:val="4D433A"/>
          <w:sz w:val="13"/>
          <w:szCs w:val="13"/>
        </w:rPr>
        <w:t>Corporate profit that is set aside from reinvestment taxed at the rate of 20%.</w:t>
      </w:r>
    </w:p>
    <w:p w:rsidR="009669E2" w:rsidRPr="00E12990" w:rsidRDefault="000F3750">
      <w:pPr>
        <w:rPr>
          <w:rFonts w:ascii="Times New Roman" w:hAnsi="Times New Roman" w:cs="Times New Roman"/>
        </w:rPr>
      </w:pPr>
    </w:p>
    <w:sectPr w:rsidR="009669E2" w:rsidRPr="00E12990"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D3DAD"/>
    <w:multiLevelType w:val="multilevel"/>
    <w:tmpl w:val="C4F6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148CD"/>
    <w:multiLevelType w:val="multilevel"/>
    <w:tmpl w:val="314E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rsids>
    <w:rsidRoot w:val="005A19F7"/>
    <w:rsid w:val="000F3750"/>
    <w:rsid w:val="005A19F7"/>
    <w:rsid w:val="0076297C"/>
    <w:rsid w:val="008E5CF2"/>
    <w:rsid w:val="009E3CFD"/>
    <w:rsid w:val="00A832EF"/>
    <w:rsid w:val="00C31B29"/>
    <w:rsid w:val="00E12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paragraph" w:styleId="Heading1">
    <w:name w:val="heading 1"/>
    <w:basedOn w:val="Normal"/>
    <w:link w:val="Heading1Char"/>
    <w:uiPriority w:val="9"/>
    <w:qFormat/>
    <w:rsid w:val="005A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F7"/>
    <w:rPr>
      <w:rFonts w:ascii="Times New Roman" w:eastAsia="Times New Roman" w:hAnsi="Times New Roman" w:cs="Times New Roman"/>
      <w:b/>
      <w:bCs/>
      <w:kern w:val="36"/>
      <w:sz w:val="48"/>
      <w:szCs w:val="48"/>
    </w:rPr>
  </w:style>
  <w:style w:type="paragraph" w:customStyle="1" w:styleId="readability-styled">
    <w:name w:val="readability-styled"/>
    <w:basedOn w:val="Normal"/>
    <w:rsid w:val="005A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19F7"/>
  </w:style>
  <w:style w:type="character" w:styleId="Hyperlink">
    <w:name w:val="Hyperlink"/>
    <w:basedOn w:val="DefaultParagraphFont"/>
    <w:uiPriority w:val="99"/>
    <w:semiHidden/>
    <w:unhideWhenUsed/>
    <w:rsid w:val="005A19F7"/>
    <w:rPr>
      <w:color w:val="0000FF"/>
      <w:u w:val="single"/>
    </w:rPr>
  </w:style>
  <w:style w:type="paragraph" w:customStyle="1" w:styleId="wp-caption-text">
    <w:name w:val="wp-caption-text"/>
    <w:basedOn w:val="Normal"/>
    <w:rsid w:val="005A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5A19F7"/>
  </w:style>
  <w:style w:type="paragraph" w:styleId="NormalWeb">
    <w:name w:val="Normal (Web)"/>
    <w:basedOn w:val="Normal"/>
    <w:uiPriority w:val="99"/>
    <w:semiHidden/>
    <w:unhideWhenUsed/>
    <w:rsid w:val="005A19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9F7"/>
    <w:rPr>
      <w:b/>
      <w:bCs/>
    </w:rPr>
  </w:style>
  <w:style w:type="character" w:styleId="Emphasis">
    <w:name w:val="Emphasis"/>
    <w:basedOn w:val="DefaultParagraphFont"/>
    <w:uiPriority w:val="20"/>
    <w:qFormat/>
    <w:rsid w:val="005A19F7"/>
    <w:rPr>
      <w:i/>
      <w:iCs/>
    </w:rPr>
  </w:style>
  <w:style w:type="paragraph" w:customStyle="1" w:styleId="hilight">
    <w:name w:val="hilight"/>
    <w:basedOn w:val="Normal"/>
    <w:rsid w:val="005A1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F7"/>
    <w:rPr>
      <w:rFonts w:ascii="Tahoma" w:hAnsi="Tahoma" w:cs="Tahoma"/>
      <w:sz w:val="16"/>
      <w:szCs w:val="16"/>
    </w:rPr>
  </w:style>
  <w:style w:type="paragraph" w:styleId="NoSpacing">
    <w:name w:val="No Spacing"/>
    <w:uiPriority w:val="1"/>
    <w:qFormat/>
    <w:rsid w:val="00E129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170553">
      <w:bodyDiv w:val="1"/>
      <w:marLeft w:val="0"/>
      <w:marRight w:val="0"/>
      <w:marTop w:val="0"/>
      <w:marBottom w:val="0"/>
      <w:divBdr>
        <w:top w:val="none" w:sz="0" w:space="0" w:color="auto"/>
        <w:left w:val="none" w:sz="0" w:space="0" w:color="auto"/>
        <w:bottom w:val="none" w:sz="0" w:space="0" w:color="auto"/>
        <w:right w:val="none" w:sz="0" w:space="0" w:color="auto"/>
      </w:divBdr>
    </w:div>
    <w:div w:id="828787495">
      <w:bodyDiv w:val="1"/>
      <w:marLeft w:val="0"/>
      <w:marRight w:val="0"/>
      <w:marTop w:val="0"/>
      <w:marBottom w:val="0"/>
      <w:divBdr>
        <w:top w:val="none" w:sz="0" w:space="0" w:color="auto"/>
        <w:left w:val="none" w:sz="0" w:space="0" w:color="auto"/>
        <w:bottom w:val="none" w:sz="0" w:space="0" w:color="auto"/>
        <w:right w:val="none" w:sz="0" w:space="0" w:color="auto"/>
      </w:divBdr>
      <w:divsChild>
        <w:div w:id="455375148">
          <w:marLeft w:val="0"/>
          <w:marRight w:val="0"/>
          <w:marTop w:val="0"/>
          <w:marBottom w:val="0"/>
          <w:divBdr>
            <w:top w:val="none" w:sz="0" w:space="0" w:color="auto"/>
            <w:left w:val="none" w:sz="0" w:space="0" w:color="auto"/>
            <w:bottom w:val="none" w:sz="0" w:space="0" w:color="auto"/>
            <w:right w:val="none" w:sz="0" w:space="0" w:color="auto"/>
          </w:divBdr>
          <w:divsChild>
            <w:div w:id="1046560269">
              <w:marLeft w:val="0"/>
              <w:marRight w:val="0"/>
              <w:marTop w:val="240"/>
              <w:marBottom w:val="240"/>
              <w:divBdr>
                <w:top w:val="none" w:sz="0" w:space="0" w:color="auto"/>
                <w:left w:val="none" w:sz="0" w:space="0" w:color="auto"/>
                <w:bottom w:val="none" w:sz="0" w:space="0" w:color="auto"/>
                <w:right w:val="none" w:sz="0" w:space="0" w:color="auto"/>
              </w:divBdr>
              <w:divsChild>
                <w:div w:id="2070882485">
                  <w:marLeft w:val="0"/>
                  <w:marRight w:val="0"/>
                  <w:marTop w:val="240"/>
                  <w:marBottom w:val="240"/>
                  <w:divBdr>
                    <w:top w:val="none" w:sz="0" w:space="0" w:color="auto"/>
                    <w:left w:val="none" w:sz="0" w:space="0" w:color="auto"/>
                    <w:bottom w:val="none" w:sz="0" w:space="0" w:color="auto"/>
                    <w:right w:val="none" w:sz="0" w:space="0" w:color="auto"/>
                  </w:divBdr>
                </w:div>
                <w:div w:id="1953324110">
                  <w:marLeft w:val="0"/>
                  <w:marRight w:val="0"/>
                  <w:marTop w:val="240"/>
                  <w:marBottom w:val="240"/>
                  <w:divBdr>
                    <w:top w:val="none" w:sz="0" w:space="0" w:color="auto"/>
                    <w:left w:val="none" w:sz="0" w:space="0" w:color="auto"/>
                    <w:bottom w:val="none" w:sz="0" w:space="0" w:color="auto"/>
                    <w:right w:val="none" w:sz="0" w:space="0" w:color="auto"/>
                  </w:divBdr>
                  <w:divsChild>
                    <w:div w:id="898901267">
                      <w:marLeft w:val="240"/>
                      <w:marRight w:val="0"/>
                      <w:marTop w:val="240"/>
                      <w:marBottom w:val="240"/>
                      <w:divBdr>
                        <w:top w:val="single" w:sz="4" w:space="4" w:color="B1A79B"/>
                        <w:left w:val="single" w:sz="4" w:space="4" w:color="B1A79B"/>
                        <w:bottom w:val="single" w:sz="4" w:space="8" w:color="B1A79B"/>
                        <w:right w:val="single" w:sz="4" w:space="4" w:color="B1A79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sfanews.net/wp-content/uploads/2012/01/masswapor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2012-01-21T21:20:00Z</dcterms:created>
  <dcterms:modified xsi:type="dcterms:W3CDTF">2012-01-21T21:24:00Z</dcterms:modified>
</cp:coreProperties>
</file>